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10" w:rsidRPr="0009073E" w:rsidRDefault="00B53310" w:rsidP="00B53310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ISP 470P</w:t>
      </w:r>
    </w:p>
    <w:p w:rsidR="00B53310" w:rsidRPr="00037DD3" w:rsidRDefault="00B53310" w:rsidP="00B53310">
      <w:pPr>
        <w:spacing w:after="0" w:line="240" w:lineRule="auto"/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2F3FD" wp14:editId="1AC6E24A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FF3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b/>
          <w:sz w:val="44"/>
          <w:szCs w:val="44"/>
        </w:rPr>
        <w:t>Course Substitution or Waiver</w:t>
      </w:r>
      <w:r w:rsidR="009C5CA3">
        <w:rPr>
          <w:b/>
          <w:sz w:val="44"/>
          <w:szCs w:val="44"/>
        </w:rPr>
        <w:t xml:space="preserve"> Procedure</w:t>
      </w:r>
    </w:p>
    <w:p w:rsidR="00B53310" w:rsidRDefault="00B53310" w:rsidP="00B53310">
      <w:pPr>
        <w:spacing w:after="0" w:line="240" w:lineRule="auto"/>
        <w:rPr>
          <w:b/>
          <w:sz w:val="28"/>
          <w:szCs w:val="28"/>
        </w:rPr>
      </w:pPr>
    </w:p>
    <w:p w:rsidR="00B53310" w:rsidRDefault="00B53310" w:rsidP="00B53310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:rsidR="00B53310" w:rsidRDefault="00B53310" w:rsidP="00B53310">
      <w:pPr>
        <w:spacing w:after="0" w:line="240" w:lineRule="auto"/>
        <w:rPr>
          <w:b/>
          <w:sz w:val="28"/>
          <w:szCs w:val="28"/>
        </w:rPr>
      </w:pPr>
    </w:p>
    <w:p w:rsidR="00B53310" w:rsidRDefault="00B53310" w:rsidP="00B533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Establishes the procedure for requesting and granting course </w:t>
      </w:r>
      <w:r w:rsidR="000B613C">
        <w:rPr>
          <w:rFonts w:ascii="Arial" w:hAnsi="Arial" w:cs="Arial"/>
        </w:rPr>
        <w:t>substitutions</w:t>
      </w:r>
      <w:r>
        <w:rPr>
          <w:rFonts w:ascii="Arial" w:hAnsi="Arial" w:cs="Arial"/>
        </w:rPr>
        <w:t xml:space="preserve"> and/or waivers for certificate or associate degree requirements.</w:t>
      </w:r>
    </w:p>
    <w:p w:rsidR="00B53310" w:rsidRDefault="00B53310" w:rsidP="00B53310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:rsidR="00B53310" w:rsidRPr="0009073E" w:rsidRDefault="00B53310" w:rsidP="00B53310">
      <w:pPr>
        <w:rPr>
          <w:b/>
          <w:sz w:val="28"/>
          <w:szCs w:val="28"/>
        </w:rPr>
      </w:pPr>
      <w:r w:rsidRPr="00E437B0">
        <w:rPr>
          <w:rFonts w:ascii="Arial" w:hAnsi="Arial" w:cs="Arial"/>
        </w:rPr>
        <w:t xml:space="preserve">Required courses for an associate degree or certificate of completion may be </w:t>
      </w:r>
      <w:r>
        <w:rPr>
          <w:rFonts w:ascii="Arial" w:hAnsi="Arial" w:cs="Arial"/>
        </w:rPr>
        <w:t xml:space="preserve">substituted or waived </w:t>
      </w:r>
      <w:r w:rsidRPr="00E437B0">
        <w:rPr>
          <w:rFonts w:ascii="Arial" w:hAnsi="Arial" w:cs="Arial"/>
        </w:rPr>
        <w:t>if a student can demonstrate that the learning outcomes and/or skill competency has been achieved in another way.</w:t>
      </w:r>
    </w:p>
    <w:p w:rsidR="00B53310" w:rsidRPr="008F7509" w:rsidRDefault="00B53310" w:rsidP="00B53310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PROCEDURE</w:t>
      </w:r>
    </w:p>
    <w:p w:rsidR="00B53310" w:rsidRPr="0009456F" w:rsidRDefault="00B53310" w:rsidP="00861A2A">
      <w:pPr>
        <w:numPr>
          <w:ilvl w:val="0"/>
          <w:numId w:val="1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The student must submit the completed Request to Substitute or Waive form to the Department Chair/Director o</w:t>
      </w:r>
      <w:r w:rsidR="000B613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their program of study. </w:t>
      </w:r>
      <w:r w:rsidRPr="0009456F">
        <w:rPr>
          <w:rFonts w:ascii="Arial" w:hAnsi="Arial" w:cs="Arial"/>
        </w:rPr>
        <w:t xml:space="preserve">   </w:t>
      </w:r>
    </w:p>
    <w:p w:rsidR="00B53310" w:rsidRPr="0009456F" w:rsidRDefault="00B53310" w:rsidP="00861A2A">
      <w:pPr>
        <w:numPr>
          <w:ilvl w:val="0"/>
          <w:numId w:val="1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Chair/Director will </w:t>
      </w:r>
      <w:r w:rsidR="000B613C">
        <w:rPr>
          <w:rFonts w:ascii="Arial" w:hAnsi="Arial" w:cs="Arial"/>
        </w:rPr>
        <w:t xml:space="preserve">review the request and </w:t>
      </w:r>
      <w:r>
        <w:rPr>
          <w:rFonts w:ascii="Arial" w:hAnsi="Arial" w:cs="Arial"/>
        </w:rPr>
        <w:t>determine the appropriateness of the student</w:t>
      </w:r>
      <w:r w:rsidR="00DC0993">
        <w:rPr>
          <w:rFonts w:ascii="Arial" w:hAnsi="Arial" w:cs="Arial"/>
        </w:rPr>
        <w:t>’</w:t>
      </w:r>
      <w:r>
        <w:rPr>
          <w:rFonts w:ascii="Arial" w:hAnsi="Arial" w:cs="Arial"/>
        </w:rPr>
        <w:t>s request and sign the</w:t>
      </w:r>
      <w:r w:rsidR="00DC0993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 xml:space="preserve"> regardless </w:t>
      </w:r>
      <w:r w:rsidR="00DC0993">
        <w:rPr>
          <w:rFonts w:ascii="Arial" w:hAnsi="Arial" w:cs="Arial"/>
        </w:rPr>
        <w:t>of whether the request is approved or denied.</w:t>
      </w:r>
      <w:r>
        <w:rPr>
          <w:rFonts w:ascii="Arial" w:hAnsi="Arial" w:cs="Arial"/>
        </w:rPr>
        <w:t xml:space="preserve">  The Department Chair/Director will consult with other discipline lead instructors or faculty as needed.</w:t>
      </w:r>
    </w:p>
    <w:p w:rsidR="00B53310" w:rsidRDefault="00B53310" w:rsidP="00861A2A">
      <w:pPr>
        <w:numPr>
          <w:ilvl w:val="0"/>
          <w:numId w:val="1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Chair will forward the Request to Substitute or Waive form to their Dean for their </w:t>
      </w:r>
      <w:r w:rsidR="000B613C">
        <w:rPr>
          <w:rFonts w:ascii="Arial" w:hAnsi="Arial" w:cs="Arial"/>
        </w:rPr>
        <w:t xml:space="preserve">review and </w:t>
      </w:r>
      <w:r>
        <w:rPr>
          <w:rFonts w:ascii="Arial" w:hAnsi="Arial" w:cs="Arial"/>
        </w:rPr>
        <w:t>signature</w:t>
      </w:r>
    </w:p>
    <w:p w:rsidR="00B53310" w:rsidRDefault="00B53310" w:rsidP="00861A2A">
      <w:pPr>
        <w:numPr>
          <w:ilvl w:val="0"/>
          <w:numId w:val="1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The Dean will</w:t>
      </w:r>
      <w:r w:rsidR="000B613C">
        <w:rPr>
          <w:rFonts w:ascii="Arial" w:hAnsi="Arial" w:cs="Arial"/>
        </w:rPr>
        <w:t xml:space="preserve"> review the request and</w:t>
      </w:r>
      <w:r>
        <w:rPr>
          <w:rFonts w:ascii="Arial" w:hAnsi="Arial" w:cs="Arial"/>
        </w:rPr>
        <w:t xml:space="preserve"> forward the completed form </w:t>
      </w:r>
      <w:r w:rsidR="009F1C05">
        <w:rPr>
          <w:rFonts w:ascii="Arial" w:hAnsi="Arial" w:cs="Arial"/>
        </w:rPr>
        <w:t>to Graduation Services</w:t>
      </w:r>
      <w:r w:rsidR="00DC0993">
        <w:rPr>
          <w:rFonts w:ascii="Arial" w:hAnsi="Arial" w:cs="Arial"/>
        </w:rPr>
        <w:t>.</w:t>
      </w:r>
    </w:p>
    <w:p w:rsidR="000B613C" w:rsidRDefault="000B613C" w:rsidP="00861A2A">
      <w:pPr>
        <w:numPr>
          <w:ilvl w:val="0"/>
          <w:numId w:val="1"/>
        </w:numPr>
        <w:tabs>
          <w:tab w:val="clear" w:pos="216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Graduation Services will review the request and will apply the request to the student</w:t>
      </w:r>
      <w:r w:rsidR="009C5CA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progress if it is approved, appropriate and the form is complete.  </w:t>
      </w:r>
    </w:p>
    <w:p w:rsidR="00F620E0" w:rsidRDefault="00F620E0" w:rsidP="00861A2A">
      <w:pPr>
        <w:tabs>
          <w:tab w:val="num" w:pos="1440"/>
          <w:tab w:val="left" w:pos="180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0B613C">
        <w:rPr>
          <w:rFonts w:ascii="Arial" w:hAnsi="Arial" w:cs="Arial"/>
        </w:rPr>
        <w:t>Graduation Services reserves the right not to apply an approved</w:t>
      </w:r>
    </w:p>
    <w:p w:rsidR="00F620E0" w:rsidRDefault="00F620E0" w:rsidP="00861A2A">
      <w:pPr>
        <w:tabs>
          <w:tab w:val="num" w:pos="1440"/>
          <w:tab w:val="left" w:pos="1800"/>
          <w:tab w:val="left" w:pos="2340"/>
          <w:tab w:val="left" w:pos="270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613C">
        <w:rPr>
          <w:rFonts w:ascii="Arial" w:hAnsi="Arial" w:cs="Arial"/>
        </w:rPr>
        <w:t>request if the form is not completed</w:t>
      </w:r>
      <w:r w:rsidR="00232EDE">
        <w:rPr>
          <w:rFonts w:ascii="Arial" w:hAnsi="Arial" w:cs="Arial"/>
        </w:rPr>
        <w:t xml:space="preserve"> </w:t>
      </w:r>
      <w:r w:rsidR="00FE77D9">
        <w:rPr>
          <w:rFonts w:ascii="Arial" w:hAnsi="Arial" w:cs="Arial"/>
        </w:rPr>
        <w:t>or</w:t>
      </w:r>
      <w:r w:rsidR="00232EDE">
        <w:rPr>
          <w:rFonts w:ascii="Arial" w:hAnsi="Arial" w:cs="Arial"/>
        </w:rPr>
        <w:t xml:space="preserve"> </w:t>
      </w:r>
      <w:r w:rsidR="000B613C">
        <w:rPr>
          <w:rFonts w:ascii="Arial" w:hAnsi="Arial" w:cs="Arial"/>
        </w:rPr>
        <w:t xml:space="preserve">if the request is in violation </w:t>
      </w:r>
    </w:p>
    <w:p w:rsidR="000B613C" w:rsidRDefault="00F620E0" w:rsidP="00861A2A">
      <w:pPr>
        <w:tabs>
          <w:tab w:val="num" w:pos="1440"/>
          <w:tab w:val="left" w:pos="1800"/>
          <w:tab w:val="left" w:pos="2340"/>
          <w:tab w:val="left" w:pos="270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613C">
        <w:rPr>
          <w:rFonts w:ascii="Arial" w:hAnsi="Arial" w:cs="Arial"/>
        </w:rPr>
        <w:t xml:space="preserve">of accreditation standards, government regulations or degree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</w:t>
      </w:r>
      <w:r w:rsidR="000B613C">
        <w:rPr>
          <w:rFonts w:ascii="Arial" w:hAnsi="Arial" w:cs="Arial"/>
        </w:rPr>
        <w:t xml:space="preserve">tcomes.  </w:t>
      </w:r>
    </w:p>
    <w:p w:rsidR="00B53310" w:rsidRDefault="000B613C" w:rsidP="00B53310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Graduation Services will notify the student if their substitution was either denied or approved when it is received.  If it is approved it will be applied to the student</w:t>
      </w:r>
      <w:r w:rsidR="009C5CA3">
        <w:rPr>
          <w:rFonts w:ascii="Arial" w:hAnsi="Arial" w:cs="Arial"/>
        </w:rPr>
        <w:t>’</w:t>
      </w:r>
      <w:r>
        <w:rPr>
          <w:rFonts w:ascii="Arial" w:hAnsi="Arial" w:cs="Arial"/>
        </w:rPr>
        <w:t>s progress</w:t>
      </w:r>
      <w:r w:rsidR="00CF0405">
        <w:rPr>
          <w:rFonts w:ascii="Arial" w:hAnsi="Arial" w:cs="Arial"/>
        </w:rPr>
        <w:t xml:space="preserve"> of their program</w:t>
      </w:r>
      <w:r>
        <w:rPr>
          <w:rFonts w:ascii="Arial" w:hAnsi="Arial" w:cs="Arial"/>
        </w:rPr>
        <w:t xml:space="preserve">.  </w:t>
      </w:r>
    </w:p>
    <w:p w:rsidR="00B53310" w:rsidRPr="00323D21" w:rsidRDefault="00B53310" w:rsidP="00B53310">
      <w:pPr>
        <w:spacing w:after="0" w:line="240" w:lineRule="auto"/>
        <w:ind w:left="1440"/>
        <w:rPr>
          <w:rFonts w:ascii="Arial" w:hAnsi="Arial" w:cs="Arial"/>
        </w:rPr>
      </w:pPr>
    </w:p>
    <w:p w:rsidR="00B53310" w:rsidRDefault="00B53310" w:rsidP="00B53310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B53310" w:rsidRDefault="00B53310" w:rsidP="00B533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p w:rsidR="00B53310" w:rsidRPr="0009073E" w:rsidRDefault="00B53310" w:rsidP="00B53310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6"/>
        <w:gridCol w:w="2933"/>
        <w:gridCol w:w="3131"/>
      </w:tblGrid>
      <w:tr w:rsidR="00B53310" w:rsidRPr="007D1FDC" w:rsidTr="009176FA">
        <w:trPr>
          <w:jc w:val="center"/>
        </w:trPr>
        <w:tc>
          <w:tcPr>
            <w:tcW w:w="3370" w:type="dxa"/>
            <w:vAlign w:val="center"/>
          </w:tcPr>
          <w:p w:rsidR="00B53310" w:rsidRPr="007D1FDC" w:rsidRDefault="00B53310" w:rsidP="00917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</w:tcPr>
          <w:p w:rsidR="00B53310" w:rsidRPr="007D1FDC" w:rsidRDefault="00B53310" w:rsidP="00917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procedure/format</w:t>
            </w:r>
          </w:p>
        </w:tc>
        <w:tc>
          <w:tcPr>
            <w:tcW w:w="3224" w:type="dxa"/>
            <w:vAlign w:val="center"/>
          </w:tcPr>
          <w:p w:rsidR="00B53310" w:rsidRPr="007D1FDC" w:rsidRDefault="00B53310" w:rsidP="00917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3, 2016</w:t>
            </w:r>
          </w:p>
        </w:tc>
      </w:tr>
      <w:tr w:rsidR="00B53310" w:rsidRPr="007D1FDC" w:rsidTr="009176FA">
        <w:trPr>
          <w:jc w:val="center"/>
        </w:trPr>
        <w:tc>
          <w:tcPr>
            <w:tcW w:w="3370" w:type="dxa"/>
            <w:vAlign w:val="center"/>
          </w:tcPr>
          <w:p w:rsidR="00B53310" w:rsidRPr="007D1FDC" w:rsidRDefault="00861A2A" w:rsidP="00917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Presidents’ Council</w:t>
            </w:r>
            <w:bookmarkStart w:id="0" w:name="_GoBack"/>
            <w:bookmarkEnd w:id="0"/>
          </w:p>
        </w:tc>
        <w:tc>
          <w:tcPr>
            <w:tcW w:w="2982" w:type="dxa"/>
          </w:tcPr>
          <w:p w:rsidR="00B53310" w:rsidRPr="007D1FDC" w:rsidRDefault="00B53310" w:rsidP="00917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B53310" w:rsidRPr="007D1FDC" w:rsidRDefault="00B53310" w:rsidP="00917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310" w:rsidRPr="007D1FDC" w:rsidTr="009176FA">
        <w:trPr>
          <w:jc w:val="center"/>
        </w:trPr>
        <w:tc>
          <w:tcPr>
            <w:tcW w:w="3370" w:type="dxa"/>
            <w:vAlign w:val="center"/>
          </w:tcPr>
          <w:p w:rsidR="00B53310" w:rsidRPr="007D1FDC" w:rsidRDefault="00861A2A" w:rsidP="00917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</w:tcPr>
          <w:p w:rsidR="00B53310" w:rsidRPr="007D1FDC" w:rsidRDefault="00B53310" w:rsidP="00917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B53310" w:rsidRDefault="00B53310" w:rsidP="009176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310" w:rsidRDefault="00B53310" w:rsidP="00B53310">
      <w:pPr>
        <w:spacing w:after="0" w:line="240" w:lineRule="auto"/>
        <w:rPr>
          <w:rFonts w:ascii="Arial" w:hAnsi="Arial" w:cs="Arial"/>
        </w:rPr>
      </w:pPr>
    </w:p>
    <w:p w:rsidR="00B53310" w:rsidRPr="00037DD3" w:rsidRDefault="00B53310" w:rsidP="00B53310">
      <w:pPr>
        <w:spacing w:after="0" w:line="240" w:lineRule="auto"/>
        <w:rPr>
          <w:rFonts w:ascii="Arial" w:hAnsi="Arial" w:cs="Arial"/>
        </w:rPr>
      </w:pPr>
    </w:p>
    <w:p w:rsidR="007342C1" w:rsidRDefault="007342C1"/>
    <w:sectPr w:rsidR="007342C1" w:rsidSect="00F620E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57C3A"/>
    <w:multiLevelType w:val="hybridMultilevel"/>
    <w:tmpl w:val="7BA28E60"/>
    <w:lvl w:ilvl="0" w:tplc="EC32CC0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10"/>
    <w:rsid w:val="0009456F"/>
    <w:rsid w:val="000B613C"/>
    <w:rsid w:val="000F29A1"/>
    <w:rsid w:val="00232EDE"/>
    <w:rsid w:val="0053360A"/>
    <w:rsid w:val="007342C1"/>
    <w:rsid w:val="00861A2A"/>
    <w:rsid w:val="009C5CA3"/>
    <w:rsid w:val="009F1C05"/>
    <w:rsid w:val="00B53310"/>
    <w:rsid w:val="00C37F7E"/>
    <w:rsid w:val="00CC5219"/>
    <w:rsid w:val="00CF0405"/>
    <w:rsid w:val="00DB29AA"/>
    <w:rsid w:val="00DC0993"/>
    <w:rsid w:val="00EF403E"/>
    <w:rsid w:val="00F620E0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2D88"/>
  <w15:chartTrackingRefBased/>
  <w15:docId w15:val="{0B29A278-97AC-4DA6-8C34-C0B07AD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310"/>
    <w:pPr>
      <w:ind w:left="720"/>
      <w:contextualSpacing/>
    </w:pPr>
  </w:style>
  <w:style w:type="table" w:styleId="TableGrid">
    <w:name w:val="Table Grid"/>
    <w:basedOn w:val="TableNormal"/>
    <w:uiPriority w:val="39"/>
    <w:rsid w:val="00B5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3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5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Steidl</dc:creator>
  <cp:keywords/>
  <dc:description/>
  <cp:lastModifiedBy>Beth Hodgkinson</cp:lastModifiedBy>
  <cp:revision>2</cp:revision>
  <cp:lastPrinted>2022-10-27T18:02:00Z</cp:lastPrinted>
  <dcterms:created xsi:type="dcterms:W3CDTF">2023-06-02T22:53:00Z</dcterms:created>
  <dcterms:modified xsi:type="dcterms:W3CDTF">2023-06-02T22:53:00Z</dcterms:modified>
</cp:coreProperties>
</file>